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800F78" w:rsidRPr="00A06E20" w:rsidRDefault="00CD432F" w:rsidP="00CD432F">
      <w:pPr>
        <w:rPr>
          <w:sz w:val="24"/>
          <w:szCs w:val="24"/>
        </w:rPr>
      </w:pPr>
      <w:r>
        <w:rPr>
          <w:b/>
          <w:sz w:val="24"/>
          <w:szCs w:val="24"/>
        </w:rPr>
        <w:t xml:space="preserve">Settlement Name:  </w:t>
      </w:r>
      <w:r w:rsidR="00EB2529">
        <w:rPr>
          <w:sz w:val="24"/>
          <w:szCs w:val="24"/>
        </w:rPr>
        <w:t>Skipton</w:t>
      </w:r>
    </w:p>
    <w:p w:rsidR="00C1109B" w:rsidRPr="00E949DF" w:rsidRDefault="00CD432F" w:rsidP="00CD432F">
      <w:pPr>
        <w:rPr>
          <w:sz w:val="24"/>
          <w:szCs w:val="24"/>
        </w:rPr>
      </w:pPr>
      <w:r>
        <w:rPr>
          <w:b/>
          <w:sz w:val="24"/>
          <w:szCs w:val="24"/>
        </w:rPr>
        <w:t xml:space="preserve">Site Number and Address: </w:t>
      </w:r>
      <w:r w:rsidR="00EB2529" w:rsidRPr="00EB2529">
        <w:rPr>
          <w:sz w:val="24"/>
          <w:szCs w:val="24"/>
        </w:rPr>
        <w:t xml:space="preserve">SK087; </w:t>
      </w:r>
      <w:r w:rsidR="00407188">
        <w:rPr>
          <w:sz w:val="24"/>
          <w:szCs w:val="24"/>
        </w:rPr>
        <w:t xml:space="preserve">Land to north of A6131 and south of A65. </w:t>
      </w:r>
    </w:p>
    <w:p w:rsidR="00F62E2A" w:rsidRPr="00F62E2A" w:rsidRDefault="00F62E2A" w:rsidP="00CD432F">
      <w:pPr>
        <w:rPr>
          <w:sz w:val="24"/>
          <w:szCs w:val="24"/>
        </w:rPr>
      </w:pPr>
    </w:p>
    <w:p w:rsidR="00CD432F" w:rsidRPr="00776515" w:rsidRDefault="00CD432F">
      <w:pPr>
        <w:rPr>
          <w:b/>
          <w:sz w:val="24"/>
          <w:szCs w:val="24"/>
          <w:u w:val="single"/>
        </w:rPr>
      </w:pPr>
      <w:r w:rsidRPr="00776515">
        <w:rPr>
          <w:b/>
          <w:sz w:val="24"/>
          <w:szCs w:val="24"/>
          <w:u w:val="single"/>
        </w:rPr>
        <w:t xml:space="preserve">Stage 1: </w:t>
      </w:r>
      <w:r w:rsidR="00C815F9">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CD432F" w:rsidRDefault="005D5DD2">
      <w:r w:rsidRPr="005D5DD2">
        <w:rPr>
          <w:noProof/>
          <w:lang w:eastAsia="en-GB"/>
        </w:rPr>
        <w:drawing>
          <wp:inline distT="0" distB="0" distL="0" distR="0" wp14:anchorId="2A9E3268" wp14:editId="120092CE">
            <wp:extent cx="8863330" cy="543693"/>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3330" cy="543693"/>
                    </a:xfrm>
                    <a:prstGeom prst="rect">
                      <a:avLst/>
                    </a:prstGeom>
                    <a:noFill/>
                    <a:ln>
                      <a:noFill/>
                    </a:ln>
                  </pic:spPr>
                </pic:pic>
              </a:graphicData>
            </a:graphic>
          </wp:inline>
        </w:drawing>
      </w:r>
    </w:p>
    <w:p w:rsidR="005D5DD2" w:rsidRDefault="005179D3">
      <w:r w:rsidRPr="005179D3">
        <w:rPr>
          <w:noProof/>
          <w:lang w:eastAsia="en-GB"/>
        </w:rPr>
        <w:drawing>
          <wp:inline distT="0" distB="0" distL="0" distR="0" wp14:anchorId="765CFF5B" wp14:editId="68BD2E48">
            <wp:extent cx="8863330" cy="1421791"/>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1421791"/>
                    </a:xfrm>
                    <a:prstGeom prst="rect">
                      <a:avLst/>
                    </a:prstGeom>
                    <a:noFill/>
                    <a:ln>
                      <a:noFill/>
                    </a:ln>
                  </pic:spPr>
                </pic:pic>
              </a:graphicData>
            </a:graphic>
          </wp:inline>
        </w:drawing>
      </w:r>
    </w:p>
    <w:p w:rsidR="00C2136F" w:rsidRPr="00761A98" w:rsidRDefault="00C2136F" w:rsidP="00C2136F">
      <w:pPr>
        <w:spacing w:after="0" w:line="240" w:lineRule="auto"/>
        <w:rPr>
          <w:rFonts w:eastAsia="Calibri" w:cs="Times New Roman"/>
        </w:rPr>
      </w:pPr>
      <w:r w:rsidRPr="00761A98">
        <w:rPr>
          <w:b/>
          <w:i/>
        </w:rPr>
        <w:t>Result:</w:t>
      </w:r>
      <w:r w:rsidRPr="00761A98">
        <w:t xml:space="preserve"> </w:t>
      </w:r>
      <w:r w:rsidR="001A305B" w:rsidRPr="001A305B">
        <w:rPr>
          <w:rFonts w:eastAsia="Calibri" w:cs="Times New Roman"/>
        </w:rPr>
        <w:t xml:space="preserve">Site performs satisfactorily in the Sustainability Analysis. The site is deemed sustainable in order to enter the </w:t>
      </w:r>
      <w:r w:rsidR="001A305B" w:rsidRPr="001A305B">
        <w:rPr>
          <w:rFonts w:eastAsia="Calibri" w:cs="Times New Roman"/>
          <w:b/>
        </w:rPr>
        <w:t>Pool of Sites</w:t>
      </w:r>
      <w:r w:rsidR="001A305B" w:rsidRPr="001A305B">
        <w:rPr>
          <w:rFonts w:eastAsia="Calibri" w:cs="Times New Roman"/>
        </w:rPr>
        <w:t xml:space="preserve"> (with mitigation measures and recommendations). The site is a candidate for the Preferred Sites list for Skipton, subject to Stage 2 analysis below, and also a possible comparison of the site’s merits with other sustainable sites in Skipton if a surplus of sites exists.</w:t>
      </w:r>
    </w:p>
    <w:p w:rsidR="00C2136F" w:rsidRDefault="00C2136F" w:rsidP="00C2136F">
      <w:pPr>
        <w:jc w:val="both"/>
        <w:rPr>
          <w:rFonts w:eastAsia="Calibri" w:cs="Times New Roman"/>
        </w:rPr>
      </w:pPr>
    </w:p>
    <w:p w:rsidR="00515D51" w:rsidRPr="00776515" w:rsidRDefault="00515D51" w:rsidP="00515D51">
      <w:pPr>
        <w:rPr>
          <w:b/>
          <w:sz w:val="24"/>
          <w:szCs w:val="24"/>
          <w:u w:val="single"/>
        </w:rPr>
      </w:pPr>
      <w:r>
        <w:rPr>
          <w:b/>
          <w:sz w:val="24"/>
          <w:szCs w:val="24"/>
          <w:u w:val="single"/>
        </w:rPr>
        <w:t>Stage 2: District</w:t>
      </w:r>
      <w:r w:rsidRPr="00776515">
        <w:rPr>
          <w:b/>
          <w:sz w:val="24"/>
          <w:szCs w:val="24"/>
          <w:u w:val="single"/>
        </w:rPr>
        <w:t xml:space="preserve"> Level Analysis</w:t>
      </w:r>
    </w:p>
    <w:p w:rsidR="00515D51" w:rsidRDefault="00515D51" w:rsidP="00515D51">
      <w:pPr>
        <w:pStyle w:val="ListParagraph"/>
        <w:numPr>
          <w:ilvl w:val="0"/>
          <w:numId w:val="7"/>
        </w:numPr>
      </w:pPr>
      <w:r w:rsidRPr="00C1109B">
        <w:t>Viability of Affordable Housing Provision</w:t>
      </w:r>
    </w:p>
    <w:p w:rsidR="00515D51" w:rsidRPr="00C1109B" w:rsidRDefault="00515D51" w:rsidP="00515D51">
      <w:pPr>
        <w:ind w:left="360"/>
      </w:pPr>
    </w:p>
    <w:tbl>
      <w:tblPr>
        <w:tblStyle w:val="TableGrid"/>
        <w:tblW w:w="14283" w:type="dxa"/>
        <w:tblLook w:val="04A0" w:firstRow="1" w:lastRow="0" w:firstColumn="1" w:lastColumn="0" w:noHBand="0" w:noVBand="1"/>
      </w:tblPr>
      <w:tblGrid>
        <w:gridCol w:w="13008"/>
        <w:gridCol w:w="1275"/>
      </w:tblGrid>
      <w:tr w:rsidR="00515D51" w:rsidRPr="00CD432F" w:rsidTr="00515D51">
        <w:tc>
          <w:tcPr>
            <w:tcW w:w="13008" w:type="dxa"/>
          </w:tcPr>
          <w:p w:rsidR="00515D51" w:rsidRPr="00CD432F" w:rsidRDefault="00515D51" w:rsidP="00515D51">
            <w:pPr>
              <w:numPr>
                <w:ilvl w:val="0"/>
                <w:numId w:val="3"/>
              </w:numPr>
              <w:contextualSpacing/>
            </w:pPr>
            <w:r w:rsidRPr="00CD432F">
              <w:lastRenderedPageBreak/>
              <w:t>The site is likely to deliver 11 or more dwellings (irrespective of being in a designated rural area or not). Affordable housing on site is obtained.</w:t>
            </w:r>
          </w:p>
        </w:tc>
        <w:tc>
          <w:tcPr>
            <w:tcW w:w="1275" w:type="dxa"/>
          </w:tcPr>
          <w:p w:rsidR="00515D51" w:rsidRPr="00B21C52" w:rsidRDefault="00515D51" w:rsidP="00515D51">
            <w:pPr>
              <w:jc w:val="center"/>
              <w:rPr>
                <w:b/>
              </w:rPr>
            </w:pPr>
            <w:r>
              <w:rPr>
                <w:b/>
              </w:rPr>
              <w:t>Yes</w:t>
            </w:r>
          </w:p>
        </w:tc>
      </w:tr>
      <w:tr w:rsidR="00515D51" w:rsidRPr="00CD432F" w:rsidTr="00515D51">
        <w:tc>
          <w:tcPr>
            <w:tcW w:w="13008" w:type="dxa"/>
          </w:tcPr>
          <w:p w:rsidR="00515D51" w:rsidRPr="00CD432F" w:rsidRDefault="00515D51" w:rsidP="00515D51">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515D51" w:rsidRPr="00B21C52" w:rsidRDefault="00515D51" w:rsidP="00515D51">
            <w:pPr>
              <w:jc w:val="center"/>
              <w:rPr>
                <w:b/>
              </w:rPr>
            </w:pPr>
          </w:p>
        </w:tc>
      </w:tr>
      <w:tr w:rsidR="00515D51" w:rsidRPr="00CD432F" w:rsidTr="00515D51">
        <w:tc>
          <w:tcPr>
            <w:tcW w:w="13008" w:type="dxa"/>
          </w:tcPr>
          <w:p w:rsidR="00515D51" w:rsidRPr="00CD432F" w:rsidRDefault="00515D51" w:rsidP="00515D51">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515D51" w:rsidRPr="00B21C52" w:rsidRDefault="00515D51" w:rsidP="00515D51">
            <w:pPr>
              <w:jc w:val="center"/>
              <w:rPr>
                <w:b/>
              </w:rPr>
            </w:pPr>
          </w:p>
        </w:tc>
      </w:tr>
    </w:tbl>
    <w:p w:rsidR="00515D51" w:rsidRPr="00CD432F" w:rsidRDefault="00515D51" w:rsidP="00515D51"/>
    <w:p w:rsidR="00515D51" w:rsidRPr="00C1109B" w:rsidRDefault="00515D51" w:rsidP="00515D51">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515D51" w:rsidRPr="00CD432F" w:rsidTr="00515D51">
        <w:tc>
          <w:tcPr>
            <w:tcW w:w="13008" w:type="dxa"/>
          </w:tcPr>
          <w:p w:rsidR="00515D51" w:rsidRPr="00CD432F" w:rsidRDefault="00515D51" w:rsidP="00515D51">
            <w:pPr>
              <w:numPr>
                <w:ilvl w:val="0"/>
                <w:numId w:val="4"/>
              </w:numPr>
              <w:contextualSpacing/>
              <w:jc w:val="both"/>
            </w:pPr>
            <w:r w:rsidRPr="00CD432F">
              <w:t>Site is likely to have potential to harm the special qualities of the designated lan</w:t>
            </w:r>
            <w:r>
              <w:t xml:space="preserve">dscapes of the YDNP or the AONB, and any harm cannot be </w:t>
            </w:r>
            <w:proofErr w:type="gramStart"/>
            <w:r>
              <w:t>mitigated</w:t>
            </w:r>
            <w:proofErr w:type="gramEnd"/>
            <w:r>
              <w:t xml:space="preserve"> against.</w:t>
            </w:r>
          </w:p>
          <w:p w:rsidR="00515D51" w:rsidRPr="00CD432F" w:rsidRDefault="00515D51" w:rsidP="00515D51"/>
        </w:tc>
        <w:tc>
          <w:tcPr>
            <w:tcW w:w="1417" w:type="dxa"/>
          </w:tcPr>
          <w:p w:rsidR="00515D51" w:rsidRPr="00B21C52" w:rsidRDefault="00515D51" w:rsidP="00515D51">
            <w:pPr>
              <w:jc w:val="center"/>
              <w:rPr>
                <w:b/>
              </w:rPr>
            </w:pPr>
            <w:r>
              <w:rPr>
                <w:b/>
              </w:rPr>
              <w:t>No</w:t>
            </w:r>
          </w:p>
        </w:tc>
      </w:tr>
      <w:tr w:rsidR="00515D51" w:rsidRPr="00CD432F" w:rsidTr="00515D51">
        <w:tc>
          <w:tcPr>
            <w:tcW w:w="13008" w:type="dxa"/>
          </w:tcPr>
          <w:p w:rsidR="00515D51" w:rsidRPr="00CD432F" w:rsidRDefault="00515D51" w:rsidP="00515D51">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515D51" w:rsidRPr="00B21C52" w:rsidRDefault="008C49B8" w:rsidP="00515D51">
            <w:pPr>
              <w:jc w:val="center"/>
              <w:rPr>
                <w:b/>
              </w:rPr>
            </w:pPr>
            <w:r>
              <w:rPr>
                <w:b/>
              </w:rPr>
              <w:t>North</w:t>
            </w:r>
          </w:p>
        </w:tc>
      </w:tr>
    </w:tbl>
    <w:p w:rsidR="00515D51" w:rsidRPr="00CD432F" w:rsidRDefault="00515D51" w:rsidP="00515D51">
      <w:pPr>
        <w:ind w:left="720"/>
        <w:contextualSpacing/>
      </w:pPr>
    </w:p>
    <w:p w:rsidR="00515D51" w:rsidRPr="00CD432F" w:rsidRDefault="00515D51" w:rsidP="00515D51">
      <w:pPr>
        <w:ind w:left="720"/>
        <w:contextualSpacing/>
      </w:pPr>
    </w:p>
    <w:p w:rsidR="00515D51" w:rsidRPr="00C1109B" w:rsidRDefault="00515D51" w:rsidP="00515D51">
      <w:pPr>
        <w:numPr>
          <w:ilvl w:val="0"/>
          <w:numId w:val="7"/>
        </w:numPr>
        <w:ind w:left="720" w:hanging="360"/>
        <w:contextualSpacing/>
      </w:pPr>
      <w:r w:rsidRPr="00CD432F">
        <w:t>Site Proximity to Designated Natural Environment Features</w:t>
      </w:r>
    </w:p>
    <w:p w:rsidR="00515D51" w:rsidRPr="00CD432F" w:rsidRDefault="00515D51" w:rsidP="00515D51">
      <w:pPr>
        <w:ind w:left="720"/>
        <w:contextualSpacing/>
        <w:rPr>
          <w:b/>
        </w:rPr>
      </w:pPr>
    </w:p>
    <w:tbl>
      <w:tblPr>
        <w:tblStyle w:val="TableGrid"/>
        <w:tblW w:w="14425" w:type="dxa"/>
        <w:tblLook w:val="04A0" w:firstRow="1" w:lastRow="0" w:firstColumn="1" w:lastColumn="0" w:noHBand="0" w:noVBand="1"/>
      </w:tblPr>
      <w:tblGrid>
        <w:gridCol w:w="13008"/>
        <w:gridCol w:w="1417"/>
      </w:tblGrid>
      <w:tr w:rsidR="00515D51" w:rsidRPr="00CD432F" w:rsidTr="00515D51">
        <w:tc>
          <w:tcPr>
            <w:tcW w:w="13008" w:type="dxa"/>
          </w:tcPr>
          <w:p w:rsidR="00515D51" w:rsidRPr="00CD432F" w:rsidRDefault="00515D51" w:rsidP="00515D51">
            <w:pPr>
              <w:numPr>
                <w:ilvl w:val="0"/>
                <w:numId w:val="5"/>
              </w:numPr>
              <w:contextualSpacing/>
              <w:jc w:val="both"/>
            </w:pPr>
            <w:r w:rsidRPr="00CD432F">
              <w:t>Site is likely to have potential to harm the special qualities of the designated lands</w:t>
            </w:r>
            <w:r>
              <w:t xml:space="preserve">capes of the SPA, SAC or </w:t>
            </w:r>
            <w:proofErr w:type="spellStart"/>
            <w:r>
              <w:t>Ramsar</w:t>
            </w:r>
            <w:proofErr w:type="spellEnd"/>
            <w:r>
              <w:t xml:space="preserve">, and any harm cannot be </w:t>
            </w:r>
            <w:proofErr w:type="gramStart"/>
            <w:r>
              <w:t>mitigated</w:t>
            </w:r>
            <w:proofErr w:type="gramEnd"/>
            <w:r>
              <w:t xml:space="preserve"> against.</w:t>
            </w:r>
          </w:p>
          <w:p w:rsidR="00515D51" w:rsidRPr="00CD432F" w:rsidRDefault="00515D51" w:rsidP="00515D51"/>
        </w:tc>
        <w:tc>
          <w:tcPr>
            <w:tcW w:w="1417" w:type="dxa"/>
          </w:tcPr>
          <w:p w:rsidR="00515D51" w:rsidRPr="00CD432F" w:rsidRDefault="00515D51" w:rsidP="00515D51">
            <w:pPr>
              <w:jc w:val="center"/>
              <w:rPr>
                <w:b/>
              </w:rPr>
            </w:pPr>
            <w:r>
              <w:rPr>
                <w:b/>
              </w:rPr>
              <w:t>No</w:t>
            </w:r>
          </w:p>
        </w:tc>
      </w:tr>
      <w:tr w:rsidR="00515D51" w:rsidRPr="00CD432F" w:rsidTr="00515D51">
        <w:tc>
          <w:tcPr>
            <w:tcW w:w="13008" w:type="dxa"/>
          </w:tcPr>
          <w:p w:rsidR="00515D51" w:rsidRPr="00CD432F" w:rsidRDefault="00515D51" w:rsidP="00515D51">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515D51" w:rsidRPr="00CD432F" w:rsidRDefault="008C49B8" w:rsidP="00515D51">
            <w:pPr>
              <w:jc w:val="center"/>
              <w:rPr>
                <w:b/>
              </w:rPr>
            </w:pPr>
            <w:r>
              <w:rPr>
                <w:b/>
              </w:rPr>
              <w:t>North</w:t>
            </w:r>
          </w:p>
        </w:tc>
      </w:tr>
    </w:tbl>
    <w:p w:rsidR="00515D51" w:rsidRPr="00CD432F" w:rsidRDefault="00515D51" w:rsidP="00515D51"/>
    <w:p w:rsidR="00515D51" w:rsidRPr="00C1109B" w:rsidRDefault="00515D51" w:rsidP="00515D51">
      <w:pPr>
        <w:numPr>
          <w:ilvl w:val="0"/>
          <w:numId w:val="7"/>
        </w:numPr>
        <w:ind w:left="720" w:hanging="360"/>
        <w:contextualSpacing/>
      </w:pPr>
      <w:r w:rsidRPr="00CD432F">
        <w:t xml:space="preserve">Site Position in relation to </w:t>
      </w:r>
      <w:r>
        <w:t>Health &amp; Safety Executive (</w:t>
      </w:r>
      <w:r w:rsidRPr="00CD432F">
        <w:t>HSE</w:t>
      </w:r>
      <w:r>
        <w:t>)</w:t>
      </w:r>
      <w:r w:rsidRPr="00CD432F">
        <w:t xml:space="preserve"> Zone</w:t>
      </w:r>
    </w:p>
    <w:p w:rsidR="00515D51" w:rsidRPr="00CD432F" w:rsidRDefault="00515D51" w:rsidP="00515D51">
      <w:pPr>
        <w:ind w:left="720"/>
        <w:contextualSpacing/>
        <w:rPr>
          <w:b/>
        </w:rPr>
      </w:pPr>
    </w:p>
    <w:tbl>
      <w:tblPr>
        <w:tblStyle w:val="TableGrid"/>
        <w:tblW w:w="14425" w:type="dxa"/>
        <w:tblLook w:val="04A0" w:firstRow="1" w:lastRow="0" w:firstColumn="1" w:lastColumn="0" w:noHBand="0" w:noVBand="1"/>
      </w:tblPr>
      <w:tblGrid>
        <w:gridCol w:w="13008"/>
        <w:gridCol w:w="1417"/>
      </w:tblGrid>
      <w:tr w:rsidR="00515D51" w:rsidRPr="00CD432F" w:rsidTr="00515D51">
        <w:tc>
          <w:tcPr>
            <w:tcW w:w="13008" w:type="dxa"/>
          </w:tcPr>
          <w:p w:rsidR="00515D51" w:rsidRPr="00CD432F" w:rsidRDefault="00515D51" w:rsidP="00515D51">
            <w:pPr>
              <w:numPr>
                <w:ilvl w:val="0"/>
                <w:numId w:val="2"/>
              </w:numPr>
              <w:contextualSpacing/>
            </w:pPr>
            <w:r w:rsidRPr="00CD432F">
              <w:t>The site lies in the outer H</w:t>
            </w:r>
            <w:r>
              <w:t xml:space="preserve">ealth &amp; </w:t>
            </w:r>
            <w:r w:rsidRPr="00CD432F">
              <w:t>S</w:t>
            </w:r>
            <w:r>
              <w:t xml:space="preserve">afety </w:t>
            </w:r>
            <w:r w:rsidRPr="00CD432F">
              <w:t>E</w:t>
            </w:r>
            <w:r>
              <w:t>xecutive</w:t>
            </w:r>
            <w:r w:rsidRPr="00CD432F">
              <w:t xml:space="preserve"> zone, or not in an HSE zone.</w:t>
            </w:r>
          </w:p>
        </w:tc>
        <w:tc>
          <w:tcPr>
            <w:tcW w:w="1417" w:type="dxa"/>
          </w:tcPr>
          <w:p w:rsidR="00515D51" w:rsidRPr="00CD432F" w:rsidRDefault="00515D51" w:rsidP="00515D51">
            <w:pPr>
              <w:jc w:val="center"/>
              <w:rPr>
                <w:b/>
              </w:rPr>
            </w:pPr>
            <w:r>
              <w:rPr>
                <w:b/>
              </w:rPr>
              <w:t>Yes</w:t>
            </w:r>
          </w:p>
        </w:tc>
      </w:tr>
      <w:tr w:rsidR="00515D51" w:rsidRPr="00CD432F" w:rsidTr="00515D51">
        <w:tc>
          <w:tcPr>
            <w:tcW w:w="13008" w:type="dxa"/>
          </w:tcPr>
          <w:p w:rsidR="00515D51" w:rsidRPr="00CD432F" w:rsidRDefault="00515D51" w:rsidP="00515D51">
            <w:pPr>
              <w:numPr>
                <w:ilvl w:val="0"/>
                <w:numId w:val="2"/>
              </w:numPr>
              <w:contextualSpacing/>
            </w:pPr>
            <w:r>
              <w:t>The site lies in the Health &amp; Safety Executive</w:t>
            </w:r>
            <w:r w:rsidRPr="00CD432F">
              <w:t xml:space="preserve"> middle zone.</w:t>
            </w:r>
          </w:p>
        </w:tc>
        <w:tc>
          <w:tcPr>
            <w:tcW w:w="1417" w:type="dxa"/>
          </w:tcPr>
          <w:p w:rsidR="00515D51" w:rsidRPr="00CD432F" w:rsidRDefault="00515D51" w:rsidP="00515D51">
            <w:pPr>
              <w:jc w:val="center"/>
            </w:pPr>
          </w:p>
        </w:tc>
      </w:tr>
      <w:tr w:rsidR="00515D51" w:rsidRPr="00CD432F" w:rsidTr="00515D51">
        <w:tc>
          <w:tcPr>
            <w:tcW w:w="13008" w:type="dxa"/>
          </w:tcPr>
          <w:p w:rsidR="00515D51" w:rsidRPr="00CD432F" w:rsidRDefault="00515D51" w:rsidP="00515D51">
            <w:pPr>
              <w:numPr>
                <w:ilvl w:val="0"/>
                <w:numId w:val="2"/>
              </w:numPr>
              <w:contextualSpacing/>
            </w:pPr>
            <w:r w:rsidRPr="00CD432F">
              <w:t>The site lies in the H</w:t>
            </w:r>
            <w:r>
              <w:t>ealth &amp; Safety Executive</w:t>
            </w:r>
            <w:r w:rsidRPr="00CD432F">
              <w:t xml:space="preserve"> inner zone.</w:t>
            </w:r>
          </w:p>
        </w:tc>
        <w:tc>
          <w:tcPr>
            <w:tcW w:w="1417" w:type="dxa"/>
          </w:tcPr>
          <w:p w:rsidR="00515D51" w:rsidRPr="00CD432F" w:rsidRDefault="00515D51" w:rsidP="00515D51">
            <w:pPr>
              <w:jc w:val="center"/>
            </w:pPr>
          </w:p>
        </w:tc>
      </w:tr>
    </w:tbl>
    <w:p w:rsidR="00515D51" w:rsidRDefault="00515D51" w:rsidP="00C2136F">
      <w:pPr>
        <w:jc w:val="both"/>
        <w:rPr>
          <w:rFonts w:eastAsia="Calibri" w:cs="Times New Roman"/>
        </w:rPr>
      </w:pPr>
    </w:p>
    <w:p w:rsidR="008C49B8" w:rsidRDefault="008C49B8" w:rsidP="008C49B8">
      <w:pPr>
        <w:jc w:val="both"/>
      </w:pPr>
      <w:r w:rsidRPr="00F62E2A">
        <w:rPr>
          <w:b/>
          <w:i/>
        </w:rPr>
        <w:lastRenderedPageBreak/>
        <w:t>Result:</w:t>
      </w:r>
      <w:r w:rsidRPr="00C1109B">
        <w:rPr>
          <w:b/>
        </w:rPr>
        <w:t xml:space="preserve"> </w:t>
      </w:r>
      <w:r w:rsidRPr="00F62E2A">
        <w:t>The</w:t>
      </w:r>
      <w:r>
        <w:t xml:space="preserve"> site passes all four District Level Analyses. After a comparison with other Pool of Site options in Skipton, the site is considered suitable as one of the </w:t>
      </w:r>
      <w:r w:rsidRPr="00F62E2A">
        <w:rPr>
          <w:b/>
        </w:rPr>
        <w:t>Preferred Sites</w:t>
      </w:r>
      <w:r>
        <w:t xml:space="preserve"> in this settlement. </w:t>
      </w:r>
    </w:p>
    <w:p w:rsidR="008C49B8" w:rsidRPr="00776515" w:rsidRDefault="008C49B8" w:rsidP="008C49B8">
      <w:pPr>
        <w:rPr>
          <w:b/>
          <w:sz w:val="24"/>
          <w:szCs w:val="24"/>
          <w:u w:val="single"/>
        </w:rPr>
      </w:pPr>
      <w:r w:rsidRPr="00776515">
        <w:rPr>
          <w:b/>
          <w:sz w:val="24"/>
          <w:szCs w:val="24"/>
          <w:u w:val="single"/>
        </w:rPr>
        <w:t xml:space="preserve">Narrative of Site Analysis </w:t>
      </w:r>
    </w:p>
    <w:p w:rsidR="00CA76A5" w:rsidRDefault="00BB2D25" w:rsidP="00C2136F">
      <w:pPr>
        <w:jc w:val="both"/>
      </w:pPr>
      <w:r>
        <w:t>Site SK087</w:t>
      </w:r>
      <w:r w:rsidR="00FE3C9C" w:rsidRPr="00142E6E">
        <w:t xml:space="preserve"> has numerous positive aspects which have determined the site’s selection as a Preferred Site. The site is a </w:t>
      </w:r>
      <w:proofErr w:type="gramStart"/>
      <w:r w:rsidR="00FE3C9C" w:rsidRPr="00142E6E">
        <w:t>greenfield</w:t>
      </w:r>
      <w:proofErr w:type="gramEnd"/>
      <w:r w:rsidR="00FE3C9C" w:rsidRPr="00142E6E">
        <w:t xml:space="preserve"> site located to the north east of Skipton adjacent </w:t>
      </w:r>
      <w:r w:rsidR="00FE3C9C">
        <w:t xml:space="preserve">to an existing residential area known as </w:t>
      </w:r>
      <w:proofErr w:type="spellStart"/>
      <w:r w:rsidR="00FE3C9C">
        <w:t>Overdale</w:t>
      </w:r>
      <w:proofErr w:type="spellEnd"/>
      <w:r w:rsidR="00FE3C9C">
        <w:t xml:space="preserve"> Caravan Park</w:t>
      </w:r>
      <w:r w:rsidR="00275D52">
        <w:t xml:space="preserve">. This site is separated from </w:t>
      </w:r>
      <w:proofErr w:type="spellStart"/>
      <w:r w:rsidR="00275D52">
        <w:t>Overdale</w:t>
      </w:r>
      <w:proofErr w:type="spellEnd"/>
      <w:r w:rsidR="00275D52">
        <w:t xml:space="preserve"> Caravan Park by a track running along the </w:t>
      </w:r>
      <w:r w:rsidR="00431E95">
        <w:t xml:space="preserve">northern boundary of the site and </w:t>
      </w:r>
      <w:r w:rsidR="00431E95">
        <w:rPr>
          <w:rFonts w:cstheme="minorHAnsi"/>
        </w:rPr>
        <w:t xml:space="preserve">opportunities exist for the links to be made to </w:t>
      </w:r>
      <w:r w:rsidR="00431E95" w:rsidRPr="00CC5298">
        <w:rPr>
          <w:rFonts w:cstheme="minorHAnsi"/>
        </w:rPr>
        <w:t>the existing PROW which runs along the track</w:t>
      </w:r>
      <w:r w:rsidR="00431E95">
        <w:rPr>
          <w:rFonts w:cstheme="minorHAnsi"/>
        </w:rPr>
        <w:t>.</w:t>
      </w:r>
      <w:r w:rsidR="00431E95" w:rsidRPr="00CC5298">
        <w:rPr>
          <w:rFonts w:cstheme="minorHAnsi"/>
        </w:rPr>
        <w:t xml:space="preserve"> </w:t>
      </w:r>
      <w:r w:rsidR="00431E95">
        <w:rPr>
          <w:rFonts w:cstheme="minorHAnsi"/>
        </w:rPr>
        <w:t xml:space="preserve"> </w:t>
      </w:r>
      <w:r w:rsidR="00FE3C9C" w:rsidRPr="00142E6E">
        <w:t>The site is in close proximity to the YDNP boundary and a S</w:t>
      </w:r>
      <w:r w:rsidR="00275D52">
        <w:t>INC.  This site is a protected road approach under saved policy BE2: Protection of Road Approaches to Skipton, within the 1999 Craven adopted Local Plan.</w:t>
      </w:r>
      <w:r w:rsidR="00D91481">
        <w:t xml:space="preserve">  </w:t>
      </w:r>
      <w:r w:rsidR="00CA76A5">
        <w:t>Part of the area protected as a road approach in the 1999 Local Plan is proposed as Local Green Space Designation (LGS) given the existing wildlife value of this site.  The area of LGS designation</w:t>
      </w:r>
      <w:r w:rsidR="00431E95">
        <w:t xml:space="preserve"> is proposed</w:t>
      </w:r>
      <w:r w:rsidR="00CA76A5">
        <w:t xml:space="preserve"> immediately to the south, </w:t>
      </w:r>
      <w:r w:rsidR="005C1B05">
        <w:t xml:space="preserve">north </w:t>
      </w:r>
      <w:r w:rsidR="00CA76A5">
        <w:t>east and west of the site.</w:t>
      </w:r>
      <w:r w:rsidR="00431E95" w:rsidRPr="00CC5298">
        <w:rPr>
          <w:rFonts w:cstheme="minorHAnsi"/>
        </w:rPr>
        <w:t xml:space="preserve"> </w:t>
      </w:r>
    </w:p>
    <w:p w:rsidR="008C49B8" w:rsidRDefault="00D91481" w:rsidP="00C2136F">
      <w:pPr>
        <w:jc w:val="both"/>
      </w:pPr>
      <w:r w:rsidRPr="00142E6E">
        <w:t>An acceptable access can be achie</w:t>
      </w:r>
      <w:r w:rsidR="000B6030">
        <w:t>ved from Harrogate Road (A6131).</w:t>
      </w:r>
    </w:p>
    <w:p w:rsidR="006F780C" w:rsidRDefault="006F780C" w:rsidP="00C2136F">
      <w:pPr>
        <w:jc w:val="both"/>
      </w:pPr>
      <w:r w:rsidRPr="00645CF9">
        <w:rPr>
          <w:rFonts w:eastAsia="Calibri"/>
        </w:rPr>
        <w:t>An assessment of the site’s archaeological interest will be required with appropriate mitigation incorporated into development proposals where necessary.</w:t>
      </w:r>
    </w:p>
    <w:p w:rsidR="000B6030" w:rsidRPr="000B6030" w:rsidRDefault="00431E95" w:rsidP="00C2136F">
      <w:pPr>
        <w:jc w:val="both"/>
      </w:pPr>
      <w:r>
        <w:t>T</w:t>
      </w:r>
      <w:r w:rsidR="000B6030">
        <w:t>he net developable area of the site would form a smaller part of the site area submitted in the SHLAA.</w:t>
      </w:r>
    </w:p>
    <w:p w:rsidR="008C49B8" w:rsidRDefault="000A47AA" w:rsidP="008C49B8">
      <w:r>
        <w:rPr>
          <w:b/>
          <w:i/>
        </w:rPr>
        <w:t>Approximate Site</w:t>
      </w:r>
      <w:r w:rsidR="008C49B8" w:rsidRPr="007C4CD1">
        <w:rPr>
          <w:b/>
          <w:i/>
        </w:rPr>
        <w:t xml:space="preserve"> Area:</w:t>
      </w:r>
      <w:r w:rsidR="008C49B8">
        <w:rPr>
          <w:b/>
        </w:rPr>
        <w:t xml:space="preserve"> </w:t>
      </w:r>
      <w:r>
        <w:t>1.1</w:t>
      </w:r>
      <w:r w:rsidR="008C49B8">
        <w:rPr>
          <w:b/>
        </w:rPr>
        <w:t xml:space="preserve"> </w:t>
      </w:r>
      <w:r w:rsidR="008C49B8">
        <w:t>hectares (</w:t>
      </w:r>
      <w:r w:rsidR="00BD1448">
        <w:t xml:space="preserve">excludes the western tip of the </w:t>
      </w:r>
      <w:r w:rsidR="008C49B8">
        <w:t>SHLAA site)</w:t>
      </w:r>
    </w:p>
    <w:p w:rsidR="000B6030" w:rsidRDefault="000A47AA" w:rsidP="000B6030">
      <w:pPr>
        <w:rPr>
          <w:b/>
        </w:rPr>
      </w:pPr>
      <w:r>
        <w:rPr>
          <w:b/>
          <w:i/>
        </w:rPr>
        <w:t>Approximate Number of Dwellings</w:t>
      </w:r>
      <w:r w:rsidR="000B6030" w:rsidRPr="007C4CD1">
        <w:rPr>
          <w:b/>
          <w:i/>
        </w:rPr>
        <w:t>:</w:t>
      </w:r>
      <w:r w:rsidR="000B6030">
        <w:rPr>
          <w:b/>
        </w:rPr>
        <w:t xml:space="preserve"> </w:t>
      </w:r>
      <w:r>
        <w:t xml:space="preserve"> 35 </w:t>
      </w:r>
    </w:p>
    <w:p w:rsidR="000B6030" w:rsidRDefault="000B6030" w:rsidP="000B6030">
      <w:pPr>
        <w:rPr>
          <w:b/>
          <w:i/>
        </w:rPr>
      </w:pPr>
      <w:r w:rsidRPr="007C4CD1">
        <w:rPr>
          <w:b/>
          <w:i/>
        </w:rPr>
        <w:t xml:space="preserve">Development Principles: </w:t>
      </w:r>
    </w:p>
    <w:p w:rsidR="00006BD3" w:rsidRPr="00EB27F9" w:rsidRDefault="00006BD3" w:rsidP="00006BD3">
      <w:pPr>
        <w:numPr>
          <w:ilvl w:val="0"/>
          <w:numId w:val="13"/>
        </w:numPr>
        <w:tabs>
          <w:tab w:val="left" w:pos="538"/>
        </w:tabs>
        <w:spacing w:before="64" w:line="228" w:lineRule="exact"/>
        <w:ind w:left="454" w:right="264" w:hanging="283"/>
        <w:contextualSpacing/>
        <w:rPr>
          <w:rFonts w:ascii="Arial" w:eastAsia="Arial" w:hAnsi="Arial" w:cs="Arial"/>
          <w:sz w:val="20"/>
          <w:szCs w:val="20"/>
        </w:rPr>
      </w:pPr>
      <w:r w:rsidRPr="00EB27F9">
        <w:rPr>
          <w:rFonts w:ascii="Arial" w:eastAsia="Arial" w:hAnsi="Arial" w:cs="Arial"/>
          <w:sz w:val="20"/>
          <w:szCs w:val="20"/>
        </w:rPr>
        <w:t>A surface water flood risk hazard has been identified within the south of the site. Development proposals must therefore be supported by a Flood Risk Assessment and drainage strategy which has informed the design, layout and landscaping of the site.  Proposals will incorporate Sustainable Drainage Systems (</w:t>
      </w:r>
      <w:proofErr w:type="spellStart"/>
      <w:r w:rsidRPr="00EB27F9">
        <w:rPr>
          <w:rFonts w:ascii="Arial" w:eastAsia="Arial" w:hAnsi="Arial" w:cs="Arial"/>
          <w:sz w:val="20"/>
          <w:szCs w:val="20"/>
        </w:rPr>
        <w:t>SuDS</w:t>
      </w:r>
      <w:proofErr w:type="spellEnd"/>
      <w:r w:rsidRPr="00EB27F9">
        <w:rPr>
          <w:rFonts w:ascii="Arial" w:eastAsia="Arial" w:hAnsi="Arial" w:cs="Arial"/>
          <w:sz w:val="20"/>
          <w:szCs w:val="20"/>
        </w:rPr>
        <w:t>), where possible;</w:t>
      </w:r>
    </w:p>
    <w:p w:rsidR="00006BD3" w:rsidRPr="00EB27F9" w:rsidRDefault="00006BD3" w:rsidP="00006BD3">
      <w:pPr>
        <w:tabs>
          <w:tab w:val="left" w:pos="538"/>
        </w:tabs>
        <w:spacing w:before="64" w:line="228" w:lineRule="exact"/>
        <w:ind w:left="454" w:right="264"/>
        <w:contextualSpacing/>
        <w:rPr>
          <w:rFonts w:ascii="Arial" w:eastAsia="Arial" w:hAnsi="Arial" w:cs="Arial"/>
          <w:sz w:val="20"/>
          <w:szCs w:val="20"/>
        </w:rPr>
      </w:pPr>
    </w:p>
    <w:p w:rsidR="00006BD3" w:rsidRPr="00EB27F9" w:rsidRDefault="00006BD3" w:rsidP="00006BD3">
      <w:pPr>
        <w:numPr>
          <w:ilvl w:val="0"/>
          <w:numId w:val="13"/>
        </w:numPr>
        <w:tabs>
          <w:tab w:val="left" w:pos="538"/>
        </w:tabs>
        <w:spacing w:before="64" w:line="228" w:lineRule="exact"/>
        <w:ind w:left="454" w:right="264" w:hanging="283"/>
        <w:contextualSpacing/>
        <w:rPr>
          <w:rFonts w:ascii="Arial" w:eastAsia="Arial" w:hAnsi="Arial" w:cs="Arial"/>
          <w:sz w:val="20"/>
          <w:szCs w:val="20"/>
        </w:rPr>
      </w:pPr>
      <w:r w:rsidRPr="00EB27F9">
        <w:rPr>
          <w:rFonts w:ascii="Arial" w:eastAsia="Arial" w:hAnsi="Arial" w:cs="Arial"/>
          <w:sz w:val="20"/>
          <w:szCs w:val="20"/>
        </w:rPr>
        <w:t xml:space="preserve">Development proposals will seek to maximise opportunities for links to be made to existing green infrastructure networks </w:t>
      </w:r>
      <w:r>
        <w:rPr>
          <w:rFonts w:ascii="Arial" w:eastAsia="Arial" w:hAnsi="Arial" w:cs="Arial"/>
          <w:sz w:val="20"/>
          <w:szCs w:val="20"/>
        </w:rPr>
        <w:t xml:space="preserve">to </w:t>
      </w:r>
      <w:r w:rsidRPr="00EB27F9">
        <w:rPr>
          <w:rFonts w:ascii="Arial" w:eastAsia="Arial" w:hAnsi="Arial" w:cs="Arial"/>
          <w:sz w:val="20"/>
          <w:szCs w:val="20"/>
        </w:rPr>
        <w:t>the existing PROW which runs along the track located immediately to the north of the site. Landscaping along the northern boundary of the site to be provided to enhance the amenity of the PROW and to filter long distance views from the Yorkshire Dales National Park.</w:t>
      </w:r>
    </w:p>
    <w:p w:rsidR="00006BD3" w:rsidRPr="00EB27F9" w:rsidRDefault="00006BD3" w:rsidP="00006BD3">
      <w:pPr>
        <w:tabs>
          <w:tab w:val="left" w:pos="538"/>
        </w:tabs>
        <w:spacing w:before="64" w:line="228" w:lineRule="exact"/>
        <w:ind w:right="264"/>
        <w:rPr>
          <w:rFonts w:ascii="Arial" w:eastAsia="Arial" w:hAnsi="Arial" w:cs="Arial"/>
          <w:sz w:val="20"/>
          <w:szCs w:val="20"/>
        </w:rPr>
      </w:pPr>
    </w:p>
    <w:p w:rsidR="00006BD3" w:rsidRPr="00EB27F9" w:rsidRDefault="00006BD3" w:rsidP="00006BD3">
      <w:pPr>
        <w:numPr>
          <w:ilvl w:val="0"/>
          <w:numId w:val="13"/>
        </w:numPr>
        <w:tabs>
          <w:tab w:val="left" w:pos="538"/>
        </w:tabs>
        <w:spacing w:before="64" w:line="228" w:lineRule="exact"/>
        <w:ind w:left="454" w:right="264" w:hanging="283"/>
        <w:contextualSpacing/>
        <w:rPr>
          <w:rFonts w:ascii="Arial" w:eastAsia="Arial" w:hAnsi="Arial" w:cs="Arial"/>
          <w:sz w:val="20"/>
          <w:szCs w:val="20"/>
        </w:rPr>
      </w:pPr>
      <w:r w:rsidRPr="00EB27F9">
        <w:rPr>
          <w:rFonts w:ascii="Arial" w:eastAsia="Arial" w:hAnsi="Arial" w:cs="Arial"/>
          <w:sz w:val="20"/>
          <w:szCs w:val="20"/>
        </w:rPr>
        <w:lastRenderedPageBreak/>
        <w:t>A Landscape Visual Impact Assessment (LVIA) is required to assess the likely effects of change on the landscape as a result of the development, specifically on views into and out of the Yorkshire Dales National Park. The LVIA will help locate and design the development so that negative landscape effects are avoided, appropriately reduced or offset.</w:t>
      </w:r>
    </w:p>
    <w:p w:rsidR="00006BD3" w:rsidRPr="00EB27F9" w:rsidRDefault="00006BD3" w:rsidP="00006BD3">
      <w:pPr>
        <w:tabs>
          <w:tab w:val="left" w:pos="538"/>
        </w:tabs>
        <w:spacing w:before="64" w:line="228" w:lineRule="exact"/>
        <w:ind w:right="264"/>
        <w:rPr>
          <w:rFonts w:ascii="Arial" w:eastAsia="Arial" w:hAnsi="Arial" w:cs="Arial"/>
          <w:sz w:val="20"/>
          <w:szCs w:val="20"/>
        </w:rPr>
      </w:pPr>
    </w:p>
    <w:p w:rsidR="00006BD3" w:rsidRPr="00EB27F9" w:rsidRDefault="00006BD3" w:rsidP="00006BD3">
      <w:pPr>
        <w:numPr>
          <w:ilvl w:val="0"/>
          <w:numId w:val="13"/>
        </w:numPr>
        <w:tabs>
          <w:tab w:val="left" w:pos="538"/>
        </w:tabs>
        <w:spacing w:before="64" w:line="228" w:lineRule="exact"/>
        <w:ind w:left="454" w:right="264" w:hanging="283"/>
        <w:contextualSpacing/>
        <w:rPr>
          <w:rFonts w:ascii="Arial" w:eastAsia="Arial" w:hAnsi="Arial" w:cs="Arial"/>
          <w:sz w:val="20"/>
          <w:szCs w:val="20"/>
        </w:rPr>
      </w:pPr>
      <w:r w:rsidRPr="00EB27F9">
        <w:rPr>
          <w:rFonts w:ascii="Arial" w:eastAsia="Arial" w:hAnsi="Arial" w:cs="Arial"/>
          <w:sz w:val="20"/>
          <w:szCs w:val="20"/>
        </w:rPr>
        <w:t xml:space="preserve">The site is a </w:t>
      </w:r>
      <w:proofErr w:type="gramStart"/>
      <w:r w:rsidRPr="00EB27F9">
        <w:rPr>
          <w:rFonts w:ascii="Arial" w:eastAsia="Arial" w:hAnsi="Arial" w:cs="Arial"/>
          <w:sz w:val="20"/>
          <w:szCs w:val="20"/>
        </w:rPr>
        <w:t>greenfield</w:t>
      </w:r>
      <w:proofErr w:type="gramEnd"/>
      <w:r w:rsidRPr="00EB27F9">
        <w:rPr>
          <w:rFonts w:ascii="Arial" w:eastAsia="Arial" w:hAnsi="Arial" w:cs="Arial"/>
          <w:sz w:val="20"/>
          <w:szCs w:val="20"/>
        </w:rPr>
        <w:t xml:space="preserve"> site in a prominent position on the edge of Skipton, in relatively close proximity to the Yorkshire Dales National Park boundary. Development proposals will be carefully and sensitively designed to minimise visual impact on the character and appearance of the area, and include measures to minimise impacts on air quality, noise and light pollution.</w:t>
      </w:r>
    </w:p>
    <w:p w:rsidR="00006BD3" w:rsidRPr="00EB27F9" w:rsidRDefault="00006BD3" w:rsidP="00006BD3">
      <w:pPr>
        <w:tabs>
          <w:tab w:val="left" w:pos="538"/>
        </w:tabs>
        <w:spacing w:before="64" w:line="228" w:lineRule="exact"/>
        <w:ind w:right="264"/>
        <w:rPr>
          <w:rFonts w:ascii="Arial" w:eastAsia="Arial" w:hAnsi="Arial" w:cs="Arial"/>
          <w:sz w:val="20"/>
          <w:szCs w:val="20"/>
        </w:rPr>
      </w:pPr>
    </w:p>
    <w:p w:rsidR="00006BD3" w:rsidRPr="00EB27F9" w:rsidRDefault="00006BD3" w:rsidP="00006BD3">
      <w:pPr>
        <w:numPr>
          <w:ilvl w:val="0"/>
          <w:numId w:val="13"/>
        </w:numPr>
        <w:tabs>
          <w:tab w:val="left" w:pos="538"/>
        </w:tabs>
        <w:spacing w:before="64" w:line="228" w:lineRule="exact"/>
        <w:ind w:left="454" w:right="264" w:hanging="283"/>
        <w:contextualSpacing/>
        <w:rPr>
          <w:rFonts w:ascii="Arial" w:eastAsia="Arial" w:hAnsi="Arial" w:cs="Arial"/>
          <w:sz w:val="20"/>
          <w:szCs w:val="20"/>
        </w:rPr>
      </w:pPr>
      <w:r w:rsidRPr="00EB27F9">
        <w:rPr>
          <w:rFonts w:ascii="Arial" w:eastAsia="Arial" w:hAnsi="Arial" w:cs="Arial"/>
          <w:sz w:val="20"/>
          <w:szCs w:val="20"/>
        </w:rPr>
        <w:t>Dwellings on the southern boundary will be front-facing, but set back from the A6131 to maintain an attractive entrance to this north eastern part of the town;</w:t>
      </w:r>
    </w:p>
    <w:p w:rsidR="00006BD3" w:rsidRPr="00EB27F9" w:rsidRDefault="00006BD3" w:rsidP="00006BD3">
      <w:pPr>
        <w:tabs>
          <w:tab w:val="left" w:pos="538"/>
        </w:tabs>
        <w:spacing w:before="64" w:line="228" w:lineRule="exact"/>
        <w:ind w:right="264"/>
        <w:rPr>
          <w:rFonts w:ascii="Arial" w:eastAsia="Arial" w:hAnsi="Arial" w:cs="Arial"/>
          <w:sz w:val="20"/>
          <w:szCs w:val="20"/>
        </w:rPr>
      </w:pPr>
    </w:p>
    <w:p w:rsidR="00006BD3" w:rsidRPr="00EB27F9" w:rsidRDefault="00006BD3" w:rsidP="00006BD3">
      <w:pPr>
        <w:numPr>
          <w:ilvl w:val="0"/>
          <w:numId w:val="13"/>
        </w:numPr>
        <w:tabs>
          <w:tab w:val="left" w:pos="538"/>
        </w:tabs>
        <w:spacing w:before="64" w:line="228" w:lineRule="exact"/>
        <w:ind w:left="454" w:right="264" w:hanging="283"/>
        <w:contextualSpacing/>
        <w:rPr>
          <w:rFonts w:ascii="Arial" w:eastAsia="Arial" w:hAnsi="Arial" w:cs="Arial"/>
          <w:sz w:val="20"/>
          <w:szCs w:val="20"/>
        </w:rPr>
      </w:pPr>
      <w:r w:rsidRPr="00EB27F9">
        <w:rPr>
          <w:rFonts w:ascii="Arial" w:eastAsia="Arial" w:hAnsi="Arial" w:cs="Arial"/>
          <w:sz w:val="20"/>
          <w:szCs w:val="20"/>
        </w:rPr>
        <w:t>There is a requirement for a Biodiversity Appraisal to assess the existing ecological conditions on the site. This is to be accompanied by a standardised Biodiversity Mitigation Plan (BMP) which must cover matters of both habitat and protected species, with the aim that negative effects on biodiversity are avoided or suitably offset, and enhancement effects are implemented.</w:t>
      </w:r>
    </w:p>
    <w:p w:rsidR="00006BD3" w:rsidRPr="00EB27F9" w:rsidRDefault="00006BD3" w:rsidP="00006BD3">
      <w:pPr>
        <w:tabs>
          <w:tab w:val="left" w:pos="538"/>
        </w:tabs>
        <w:spacing w:before="64" w:line="228" w:lineRule="exact"/>
        <w:ind w:right="264"/>
        <w:rPr>
          <w:rFonts w:ascii="Arial" w:eastAsia="Arial" w:hAnsi="Arial" w:cs="Arial"/>
          <w:sz w:val="20"/>
          <w:szCs w:val="20"/>
        </w:rPr>
      </w:pPr>
    </w:p>
    <w:p w:rsidR="00006BD3" w:rsidRPr="00EB27F9" w:rsidRDefault="00006BD3" w:rsidP="00006BD3">
      <w:pPr>
        <w:numPr>
          <w:ilvl w:val="0"/>
          <w:numId w:val="13"/>
        </w:numPr>
        <w:tabs>
          <w:tab w:val="left" w:pos="538"/>
        </w:tabs>
        <w:spacing w:line="228" w:lineRule="exact"/>
        <w:ind w:left="454" w:right="264" w:hanging="283"/>
        <w:contextualSpacing/>
        <w:rPr>
          <w:rFonts w:ascii="Arial" w:eastAsia="Arial" w:hAnsi="Arial" w:cs="Arial"/>
          <w:sz w:val="20"/>
          <w:szCs w:val="20"/>
        </w:rPr>
      </w:pPr>
      <w:r w:rsidRPr="00EB27F9">
        <w:rPr>
          <w:rFonts w:ascii="Arial" w:eastAsia="Arial" w:hAnsi="Arial" w:cs="Arial"/>
          <w:iCs/>
          <w:sz w:val="20"/>
          <w:szCs w:val="20"/>
        </w:rPr>
        <w:t>An assessment of the site’s archaeological interest will be required with appropriate mitigation incorporated into development proposals where necessary.</w:t>
      </w:r>
    </w:p>
    <w:p w:rsidR="00006BD3" w:rsidRPr="00EB27F9" w:rsidRDefault="00006BD3" w:rsidP="00006BD3">
      <w:pPr>
        <w:tabs>
          <w:tab w:val="left" w:pos="538"/>
        </w:tabs>
        <w:spacing w:line="228" w:lineRule="exact"/>
        <w:ind w:right="264"/>
        <w:rPr>
          <w:rFonts w:ascii="Arial" w:eastAsia="Arial" w:hAnsi="Arial" w:cs="Arial"/>
          <w:sz w:val="20"/>
          <w:szCs w:val="20"/>
        </w:rPr>
      </w:pPr>
    </w:p>
    <w:p w:rsidR="00006BD3" w:rsidRPr="00EB27F9" w:rsidRDefault="00006BD3" w:rsidP="00006BD3">
      <w:pPr>
        <w:numPr>
          <w:ilvl w:val="0"/>
          <w:numId w:val="13"/>
        </w:numPr>
        <w:tabs>
          <w:tab w:val="left" w:pos="538"/>
        </w:tabs>
        <w:spacing w:before="64" w:line="228" w:lineRule="exact"/>
        <w:ind w:left="454" w:right="264" w:hanging="283"/>
        <w:contextualSpacing/>
        <w:rPr>
          <w:rFonts w:ascii="Arial" w:eastAsia="Arial" w:hAnsi="Arial" w:cs="Arial"/>
          <w:sz w:val="20"/>
          <w:szCs w:val="20"/>
        </w:rPr>
      </w:pPr>
      <w:r w:rsidRPr="00EB27F9">
        <w:rPr>
          <w:rFonts w:ascii="Arial" w:eastAsia="Arial" w:hAnsi="Arial" w:cs="Arial"/>
          <w:sz w:val="20"/>
          <w:szCs w:val="20"/>
        </w:rPr>
        <w:t xml:space="preserve">Access to the site is to be gained from Harrogate Road (A6131) and a footway link alongside the A6131 to the bus stop at </w:t>
      </w:r>
      <w:proofErr w:type="spellStart"/>
      <w:r w:rsidRPr="00EB27F9">
        <w:rPr>
          <w:rFonts w:ascii="Arial" w:eastAsia="Arial" w:hAnsi="Arial" w:cs="Arial"/>
          <w:sz w:val="20"/>
          <w:szCs w:val="20"/>
        </w:rPr>
        <w:t>Overdale</w:t>
      </w:r>
      <w:proofErr w:type="spellEnd"/>
      <w:r w:rsidRPr="00EB27F9">
        <w:rPr>
          <w:rFonts w:ascii="Arial" w:eastAsia="Arial" w:hAnsi="Arial" w:cs="Arial"/>
          <w:sz w:val="20"/>
          <w:szCs w:val="20"/>
        </w:rPr>
        <w:t xml:space="preserve"> Static Caravan Site shall be provided.</w:t>
      </w:r>
      <w:bookmarkStart w:id="0" w:name="_GoBack"/>
      <w:bookmarkEnd w:id="0"/>
    </w:p>
    <w:p w:rsidR="00006BD3" w:rsidRPr="00EB27F9" w:rsidRDefault="00006BD3" w:rsidP="00006BD3">
      <w:pPr>
        <w:tabs>
          <w:tab w:val="left" w:pos="538"/>
        </w:tabs>
        <w:spacing w:before="64" w:line="228" w:lineRule="exact"/>
        <w:ind w:right="264"/>
        <w:rPr>
          <w:rFonts w:ascii="Arial" w:eastAsia="Arial" w:hAnsi="Arial" w:cs="Arial"/>
          <w:sz w:val="20"/>
          <w:szCs w:val="20"/>
        </w:rPr>
      </w:pPr>
    </w:p>
    <w:p w:rsidR="00006BD3" w:rsidRPr="00006BD3" w:rsidRDefault="00006BD3" w:rsidP="00006BD3">
      <w:pPr>
        <w:pStyle w:val="ListParagraph"/>
        <w:numPr>
          <w:ilvl w:val="0"/>
          <w:numId w:val="13"/>
        </w:numPr>
      </w:pPr>
      <w:r w:rsidRPr="00006BD3">
        <w:rPr>
          <w:rFonts w:ascii="Arial" w:eastAsia="Arial" w:hAnsi="Arial" w:cs="Arial"/>
          <w:sz w:val="20"/>
          <w:szCs w:val="20"/>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sectPr w:rsidR="00006BD3" w:rsidRPr="00006BD3"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F66" w:rsidRDefault="00A67F66" w:rsidP="00FC3903">
      <w:pPr>
        <w:spacing w:after="0" w:line="240" w:lineRule="auto"/>
      </w:pPr>
      <w:r>
        <w:separator/>
      </w:r>
    </w:p>
  </w:endnote>
  <w:endnote w:type="continuationSeparator" w:id="0">
    <w:p w:rsidR="00A67F66" w:rsidRDefault="00A67F66"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A83AF7" w:rsidRDefault="00A83AF7">
        <w:pPr>
          <w:pStyle w:val="Footer"/>
          <w:jc w:val="center"/>
        </w:pPr>
        <w:r>
          <w:fldChar w:fldCharType="begin"/>
        </w:r>
        <w:r>
          <w:instrText xml:space="preserve"> PAGE   \* MERGEFORMAT </w:instrText>
        </w:r>
        <w:r>
          <w:fldChar w:fldCharType="separate"/>
        </w:r>
        <w:r w:rsidR="00006BD3">
          <w:rPr>
            <w:noProof/>
          </w:rPr>
          <w:t>3</w:t>
        </w:r>
        <w:r>
          <w:rPr>
            <w:noProof/>
          </w:rPr>
          <w:fldChar w:fldCharType="end"/>
        </w:r>
      </w:p>
    </w:sdtContent>
  </w:sdt>
  <w:p w:rsidR="00A83AF7" w:rsidRDefault="00A83A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F66" w:rsidRDefault="00A67F66" w:rsidP="00FC3903">
      <w:pPr>
        <w:spacing w:after="0" w:line="240" w:lineRule="auto"/>
      </w:pPr>
      <w:r>
        <w:separator/>
      </w:r>
    </w:p>
  </w:footnote>
  <w:footnote w:type="continuationSeparator" w:id="0">
    <w:p w:rsidR="00A67F66" w:rsidRDefault="00A67F66"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AB853DA"/>
    <w:multiLevelType w:val="hybridMultilevel"/>
    <w:tmpl w:val="0ED21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8343406"/>
    <w:multiLevelType w:val="hybridMultilevel"/>
    <w:tmpl w:val="2F3EC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1F37B98"/>
    <w:multiLevelType w:val="hybridMultilevel"/>
    <w:tmpl w:val="EA3EE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4EB54A2"/>
    <w:multiLevelType w:val="hybridMultilevel"/>
    <w:tmpl w:val="E1B0C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A830479"/>
    <w:multiLevelType w:val="hybridMultilevel"/>
    <w:tmpl w:val="DAE0647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nsid w:val="700000AA"/>
    <w:multiLevelType w:val="hybridMultilevel"/>
    <w:tmpl w:val="64662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10"/>
  </w:num>
  <w:num w:numId="5">
    <w:abstractNumId w:val="8"/>
  </w:num>
  <w:num w:numId="6">
    <w:abstractNumId w:val="2"/>
  </w:num>
  <w:num w:numId="7">
    <w:abstractNumId w:val="7"/>
  </w:num>
  <w:num w:numId="8">
    <w:abstractNumId w:val="3"/>
  </w:num>
  <w:num w:numId="9">
    <w:abstractNumId w:val="11"/>
  </w:num>
  <w:num w:numId="10">
    <w:abstractNumId w:val="12"/>
  </w:num>
  <w:num w:numId="11">
    <w:abstractNumId w:val="1"/>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06BD3"/>
    <w:rsid w:val="000735C8"/>
    <w:rsid w:val="000A47AA"/>
    <w:rsid w:val="000B6030"/>
    <w:rsid w:val="000D020A"/>
    <w:rsid w:val="00100F9D"/>
    <w:rsid w:val="00104B03"/>
    <w:rsid w:val="00120002"/>
    <w:rsid w:val="001A305B"/>
    <w:rsid w:val="001B2BFC"/>
    <w:rsid w:val="001B7854"/>
    <w:rsid w:val="00247682"/>
    <w:rsid w:val="00275D52"/>
    <w:rsid w:val="002C0460"/>
    <w:rsid w:val="003F0C28"/>
    <w:rsid w:val="00407188"/>
    <w:rsid w:val="00415EC1"/>
    <w:rsid w:val="00431E95"/>
    <w:rsid w:val="004E3847"/>
    <w:rsid w:val="00515D51"/>
    <w:rsid w:val="005179D3"/>
    <w:rsid w:val="0053462A"/>
    <w:rsid w:val="005A09EC"/>
    <w:rsid w:val="005A6BB1"/>
    <w:rsid w:val="005C1B05"/>
    <w:rsid w:val="005D5DD2"/>
    <w:rsid w:val="00645CF9"/>
    <w:rsid w:val="00674C61"/>
    <w:rsid w:val="006F780C"/>
    <w:rsid w:val="00776515"/>
    <w:rsid w:val="007C4CD1"/>
    <w:rsid w:val="007F5349"/>
    <w:rsid w:val="00800F78"/>
    <w:rsid w:val="008264EE"/>
    <w:rsid w:val="00834C80"/>
    <w:rsid w:val="008A326E"/>
    <w:rsid w:val="008C49B8"/>
    <w:rsid w:val="009D0682"/>
    <w:rsid w:val="00A06E20"/>
    <w:rsid w:val="00A13071"/>
    <w:rsid w:val="00A67F66"/>
    <w:rsid w:val="00A83AF7"/>
    <w:rsid w:val="00AB518C"/>
    <w:rsid w:val="00AD536B"/>
    <w:rsid w:val="00AD6F3E"/>
    <w:rsid w:val="00B11693"/>
    <w:rsid w:val="00BB2D25"/>
    <w:rsid w:val="00BD1448"/>
    <w:rsid w:val="00BE342E"/>
    <w:rsid w:val="00BF0BCD"/>
    <w:rsid w:val="00C1109B"/>
    <w:rsid w:val="00C2136F"/>
    <w:rsid w:val="00C815F9"/>
    <w:rsid w:val="00CA76A5"/>
    <w:rsid w:val="00CC5298"/>
    <w:rsid w:val="00CD432F"/>
    <w:rsid w:val="00CD6357"/>
    <w:rsid w:val="00D142FD"/>
    <w:rsid w:val="00D91481"/>
    <w:rsid w:val="00E22A10"/>
    <w:rsid w:val="00E65502"/>
    <w:rsid w:val="00E67360"/>
    <w:rsid w:val="00E949DF"/>
    <w:rsid w:val="00EB2529"/>
    <w:rsid w:val="00EF1621"/>
    <w:rsid w:val="00F2287F"/>
    <w:rsid w:val="00F5021B"/>
    <w:rsid w:val="00F62E2A"/>
    <w:rsid w:val="00F85A12"/>
    <w:rsid w:val="00FB0CB2"/>
    <w:rsid w:val="00FC3903"/>
    <w:rsid w:val="00FD44B2"/>
    <w:rsid w:val="00FE3C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751009">
      <w:bodyDiv w:val="1"/>
      <w:marLeft w:val="0"/>
      <w:marRight w:val="0"/>
      <w:marTop w:val="0"/>
      <w:marBottom w:val="0"/>
      <w:divBdr>
        <w:top w:val="none" w:sz="0" w:space="0" w:color="auto"/>
        <w:left w:val="none" w:sz="0" w:space="0" w:color="auto"/>
        <w:bottom w:val="none" w:sz="0" w:space="0" w:color="auto"/>
        <w:right w:val="none" w:sz="0" w:space="0" w:color="auto"/>
      </w:divBdr>
    </w:div>
    <w:div w:id="959991034">
      <w:bodyDiv w:val="1"/>
      <w:marLeft w:val="0"/>
      <w:marRight w:val="0"/>
      <w:marTop w:val="0"/>
      <w:marBottom w:val="0"/>
      <w:divBdr>
        <w:top w:val="none" w:sz="0" w:space="0" w:color="auto"/>
        <w:left w:val="none" w:sz="0" w:space="0" w:color="auto"/>
        <w:bottom w:val="none" w:sz="0" w:space="0" w:color="auto"/>
        <w:right w:val="none" w:sz="0" w:space="0" w:color="auto"/>
      </w:divBdr>
    </w:div>
    <w:div w:id="1881168409">
      <w:bodyDiv w:val="1"/>
      <w:marLeft w:val="0"/>
      <w:marRight w:val="0"/>
      <w:marTop w:val="0"/>
      <w:marBottom w:val="0"/>
      <w:divBdr>
        <w:top w:val="none" w:sz="0" w:space="0" w:color="auto"/>
        <w:left w:val="none" w:sz="0" w:space="0" w:color="auto"/>
        <w:bottom w:val="none" w:sz="0" w:space="0" w:color="auto"/>
        <w:right w:val="none" w:sz="0" w:space="0" w:color="auto"/>
      </w:divBdr>
    </w:div>
    <w:div w:id="192841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A55BD-0807-449E-8DA7-236E26DC6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4</Pages>
  <Words>982</Words>
  <Characters>5599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17</cp:revision>
  <cp:lastPrinted>2017-11-08T13:36:00Z</cp:lastPrinted>
  <dcterms:created xsi:type="dcterms:W3CDTF">2017-10-31T13:50:00Z</dcterms:created>
  <dcterms:modified xsi:type="dcterms:W3CDTF">2019-11-10T20:05:00Z</dcterms:modified>
</cp:coreProperties>
</file>